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CF0357" w:rsidRPr="00CF0357" w:rsidTr="00CF035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>Сухаревского сельского поселения</w:t>
            </w:r>
          </w:p>
          <w:p w:rsidR="00CF0357" w:rsidRPr="00CF0357" w:rsidRDefault="00CF0357" w:rsidP="00CF0357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CF0357" w:rsidRPr="00CF0357" w:rsidRDefault="00CF0357" w:rsidP="00CF0357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CF0357">
              <w:rPr>
                <w:rFonts w:ascii="Times New Roman" w:hAnsi="Times New Roman"/>
                <w:sz w:val="20"/>
                <w:lang w:val="tt-RU"/>
              </w:rPr>
              <w:t xml:space="preserve">423559, Нижнекамский район, </w:t>
            </w:r>
          </w:p>
          <w:p w:rsidR="00CF0357" w:rsidRPr="00CF0357" w:rsidRDefault="00CF0357" w:rsidP="00CF0357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CF0357">
              <w:rPr>
                <w:rFonts w:ascii="Times New Roman" w:hAnsi="Times New Roman"/>
                <w:sz w:val="20"/>
                <w:szCs w:val="20"/>
                <w:lang w:val="tt-RU"/>
              </w:rPr>
              <w:t>с. Сухарево,  ул.Пролетарская, 12</w:t>
            </w:r>
          </w:p>
          <w:p w:rsidR="00CF0357" w:rsidRPr="00CF0357" w:rsidRDefault="00CF0357" w:rsidP="00CF03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proofErr w:type="spellStart"/>
            <w:r w:rsidRPr="00CF0357">
              <w:rPr>
                <w:rFonts w:ascii="Times New Roman" w:hAnsi="Times New Roman"/>
                <w:bCs/>
                <w:sz w:val="28"/>
                <w:szCs w:val="28"/>
              </w:rPr>
              <w:t>Сухрау</w:t>
            </w:r>
            <w:proofErr w:type="spellEnd"/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 w:rsidRPr="00CF0357">
              <w:rPr>
                <w:rFonts w:ascii="Times New Roman" w:hAnsi="Times New Roman"/>
                <w:bCs/>
                <w:sz w:val="28"/>
                <w:szCs w:val="28"/>
              </w:rPr>
              <w:t>авыл</w:t>
            </w:r>
            <w:proofErr w:type="spellEnd"/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>Башкарма комитеты</w:t>
            </w:r>
          </w:p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CF0357" w:rsidRPr="00CF0357" w:rsidRDefault="00CF0357" w:rsidP="00CF0357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CF0357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423559, Түбән Кама  районы, </w:t>
            </w:r>
          </w:p>
          <w:p w:rsidR="00CF0357" w:rsidRPr="00CF0357" w:rsidRDefault="00CF0357" w:rsidP="00CF0357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proofErr w:type="spellStart"/>
            <w:r w:rsidRPr="00CF0357">
              <w:rPr>
                <w:rFonts w:ascii="Times New Roman" w:hAnsi="Times New Roman"/>
                <w:sz w:val="20"/>
                <w:szCs w:val="20"/>
              </w:rPr>
              <w:t>Сухрау</w:t>
            </w:r>
            <w:proofErr w:type="spellEnd"/>
            <w:r w:rsidRPr="00CF0357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 w:rsidRPr="00CF0357">
              <w:rPr>
                <w:rFonts w:ascii="Times New Roman" w:hAnsi="Times New Roman"/>
                <w:bCs/>
                <w:sz w:val="20"/>
                <w:szCs w:val="20"/>
              </w:rPr>
              <w:t>Пролетар</w:t>
            </w:r>
            <w:proofErr w:type="spellEnd"/>
            <w:r w:rsidRPr="00CF0357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урамы, 12</w:t>
            </w:r>
          </w:p>
          <w:p w:rsidR="00CF0357" w:rsidRPr="00CF0357" w:rsidRDefault="00CF0357" w:rsidP="00CF03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CF0357" w:rsidRPr="00CF0357" w:rsidTr="00CF0357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F0357" w:rsidRPr="00CF0357" w:rsidRDefault="00CF0357" w:rsidP="00CF0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tt-RU"/>
              </w:rPr>
            </w:pPr>
            <w:r w:rsidRPr="00CF0357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44-11-44, электронный адрес: </w:t>
            </w:r>
            <w:r w:rsidRPr="00CF0357">
              <w:rPr>
                <w:rFonts w:ascii="Times New Roman" w:hAnsi="Times New Roman"/>
                <w:bCs/>
                <w:sz w:val="20"/>
                <w:szCs w:val="20"/>
              </w:rPr>
              <w:t>Suharevskoe.Sp@tatar.ru</w:t>
            </w:r>
            <w:r w:rsidRPr="00CF0357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, сайт: www.suharevskoe-sp.ru</w:t>
            </w:r>
          </w:p>
        </w:tc>
      </w:tr>
    </w:tbl>
    <w:p w:rsidR="00CF0357" w:rsidRPr="00CF0357" w:rsidRDefault="00CF0357" w:rsidP="00CF0357">
      <w:pPr>
        <w:spacing w:after="0" w:line="240" w:lineRule="auto"/>
      </w:pPr>
    </w:p>
    <w:p w:rsidR="00CF0357" w:rsidRPr="00CF0357" w:rsidRDefault="00CF0357" w:rsidP="00CF0357">
      <w:pPr>
        <w:spacing w:after="0" w:line="240" w:lineRule="auto"/>
        <w:rPr>
          <w:lang w:val="tt-RU"/>
        </w:rPr>
      </w:pPr>
      <w:r>
        <w:rPr>
          <w:lang w:val="tt-RU"/>
        </w:rPr>
        <w:t xml:space="preserve">  </w:t>
      </w:r>
    </w:p>
    <w:p w:rsidR="00FD64C7" w:rsidRPr="00FD64C7" w:rsidRDefault="00FD64C7" w:rsidP="00FD64C7">
      <w:pPr>
        <w:spacing w:after="0" w:line="240" w:lineRule="auto"/>
        <w:rPr>
          <w:rFonts w:ascii="Times New Roman" w:hAnsi="Times New Roman"/>
          <w:sz w:val="27"/>
          <w:szCs w:val="27"/>
          <w:lang w:val="tt-RU"/>
        </w:rPr>
      </w:pPr>
      <w:r w:rsidRPr="00FD64C7">
        <w:rPr>
          <w:rFonts w:ascii="Arial" w:eastAsia="Times New Roman" w:hAnsi="Arial" w:cs="Arial"/>
          <w:sz w:val="27"/>
          <w:szCs w:val="27"/>
          <w:lang w:val="tt-RU" w:eastAsia="ru-RU"/>
        </w:rPr>
        <w:t xml:space="preserve">                  </w:t>
      </w:r>
      <w:r w:rsidRPr="00FD64C7">
        <w:rPr>
          <w:rFonts w:ascii="Times New Roman" w:hAnsi="Times New Roman"/>
          <w:sz w:val="27"/>
          <w:szCs w:val="27"/>
          <w:lang w:val="tt-RU"/>
        </w:rPr>
        <w:t>ПОСТАНОВЛЕНИЕ                                                  КАРАР</w:t>
      </w:r>
    </w:p>
    <w:p w:rsidR="00FD64C7" w:rsidRDefault="00FD64C7" w:rsidP="00FD64C7">
      <w:pPr>
        <w:spacing w:after="0" w:line="240" w:lineRule="auto"/>
        <w:rPr>
          <w:rFonts w:ascii="Arial" w:eastAsia="Times New Roman" w:hAnsi="Arial" w:cs="Arial"/>
          <w:sz w:val="27"/>
          <w:szCs w:val="27"/>
          <w:lang w:val="tt-RU" w:eastAsia="ru-RU"/>
        </w:rPr>
      </w:pPr>
      <w:r w:rsidRPr="00FD64C7">
        <w:rPr>
          <w:rFonts w:ascii="Arial" w:eastAsia="Times New Roman" w:hAnsi="Arial" w:cs="Arial"/>
          <w:sz w:val="27"/>
          <w:szCs w:val="27"/>
          <w:lang w:val="tt-RU" w:eastAsia="ru-RU"/>
        </w:rPr>
        <w:t xml:space="preserve">            </w:t>
      </w:r>
    </w:p>
    <w:p w:rsidR="00B17483" w:rsidRPr="00FD64C7" w:rsidRDefault="00B17483" w:rsidP="00FD64C7">
      <w:pPr>
        <w:spacing w:after="0" w:line="240" w:lineRule="auto"/>
        <w:rPr>
          <w:rFonts w:ascii="Arial" w:eastAsia="Times New Roman" w:hAnsi="Arial" w:cs="Arial"/>
          <w:sz w:val="27"/>
          <w:szCs w:val="27"/>
          <w:lang w:val="tt-RU" w:eastAsia="ru-RU"/>
        </w:rPr>
      </w:pPr>
    </w:p>
    <w:p w:rsidR="00DF1257" w:rsidRPr="00DF1257" w:rsidRDefault="00DF1257" w:rsidP="00DF12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DF1257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от 17.08.2023 г.                                                                                                              № </w:t>
      </w:r>
      <w:r w:rsidR="001B45C1">
        <w:rPr>
          <w:rFonts w:ascii="Times New Roman" w:eastAsia="Times New Roman" w:hAnsi="Times New Roman"/>
          <w:sz w:val="28"/>
          <w:szCs w:val="28"/>
          <w:lang w:val="tt-RU" w:eastAsia="ru-RU"/>
        </w:rPr>
        <w:t>59</w:t>
      </w:r>
    </w:p>
    <w:p w:rsidR="00DF1257" w:rsidRDefault="00DF1257" w:rsidP="00DF1257">
      <w:pPr>
        <w:spacing w:after="0" w:line="240" w:lineRule="auto"/>
        <w:ind w:right="6095"/>
        <w:jc w:val="both"/>
        <w:rPr>
          <w:rFonts w:ascii="Times New Roman" w:eastAsia="Times New Roman" w:hAnsi="Times New Roman"/>
          <w:sz w:val="27"/>
          <w:szCs w:val="27"/>
          <w:lang w:val="tt-RU" w:eastAsia="ru-RU"/>
        </w:rPr>
      </w:pPr>
    </w:p>
    <w:p w:rsidR="00B17483" w:rsidRPr="00DF1257" w:rsidRDefault="00B17483" w:rsidP="00DF1257">
      <w:pPr>
        <w:spacing w:after="0" w:line="240" w:lineRule="auto"/>
        <w:ind w:right="6095"/>
        <w:jc w:val="both"/>
        <w:rPr>
          <w:rFonts w:ascii="Times New Roman" w:eastAsia="Times New Roman" w:hAnsi="Times New Roman"/>
          <w:sz w:val="27"/>
          <w:szCs w:val="27"/>
          <w:lang w:val="tt-RU" w:eastAsia="ru-RU"/>
        </w:rPr>
      </w:pPr>
    </w:p>
    <w:p w:rsidR="00DF1257" w:rsidRPr="00DF1257" w:rsidRDefault="00DF1257" w:rsidP="00DF1257">
      <w:pPr>
        <w:spacing w:after="0" w:line="240" w:lineRule="auto"/>
        <w:ind w:right="6236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F1257">
        <w:rPr>
          <w:rFonts w:ascii="Times New Roman" w:eastAsia="Times New Roman" w:hAnsi="Times New Roman"/>
          <w:sz w:val="27"/>
          <w:szCs w:val="27"/>
          <w:lang w:eastAsia="ru-RU"/>
        </w:rPr>
        <w:t>Об утверждении Порядка формирования и утверждения перечня объектов, в отношении, которых планируется заключение концессионных соглашений, и Порядка принятия решений о заключении концессионных соглашений</w:t>
      </w:r>
    </w:p>
    <w:p w:rsidR="00DF1257" w:rsidRDefault="00DF1257" w:rsidP="00DF1257">
      <w:pPr>
        <w:spacing w:after="0" w:line="240" w:lineRule="auto"/>
        <w:ind w:right="6095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B17483" w:rsidRPr="00DF1257" w:rsidRDefault="00B17483" w:rsidP="00DF1257">
      <w:pPr>
        <w:spacing w:after="0" w:line="240" w:lineRule="auto"/>
        <w:ind w:right="6095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B17483" w:rsidRDefault="00DF1257" w:rsidP="00B174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DF1257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Федеральным законом </w:t>
      </w:r>
      <w:hyperlink r:id="rId9">
        <w:r w:rsidRPr="00DF1257">
          <w:rPr>
            <w:rFonts w:ascii="Times New Roman" w:eastAsia="Times New Roman" w:hAnsi="Times New Roman"/>
            <w:sz w:val="27"/>
            <w:szCs w:val="27"/>
            <w:lang w:eastAsia="ru-RU"/>
          </w:rPr>
          <w:t>от 21.07.2005 № 115-ФЗ</w:t>
        </w:r>
      </w:hyperlink>
      <w:r w:rsidRPr="00DF1257">
        <w:rPr>
          <w:rFonts w:ascii="Times New Roman" w:eastAsia="Times New Roman" w:hAnsi="Times New Roman"/>
          <w:sz w:val="27"/>
          <w:szCs w:val="27"/>
          <w:lang w:eastAsia="ru-RU"/>
        </w:rPr>
        <w:t xml:space="preserve"> "О концессионных соглашениях", </w:t>
      </w:r>
      <w:hyperlink r:id="rId10">
        <w:r w:rsidRPr="00DF1257">
          <w:rPr>
            <w:rFonts w:ascii="Times New Roman" w:eastAsia="Times New Roman" w:hAnsi="Times New Roman"/>
            <w:sz w:val="27"/>
            <w:szCs w:val="27"/>
            <w:lang w:eastAsia="ru-RU"/>
          </w:rPr>
          <w:t xml:space="preserve"> Уставом </w:t>
        </w:r>
        <w:proofErr w:type="spellStart"/>
        <w:r w:rsidR="00B17483">
          <w:rPr>
            <w:rFonts w:ascii="Times New Roman" w:eastAsia="Times New Roman" w:hAnsi="Times New Roman"/>
            <w:sz w:val="27"/>
            <w:szCs w:val="27"/>
            <w:lang w:eastAsia="ru-RU"/>
          </w:rPr>
          <w:t>Сухаревского</w:t>
        </w:r>
        <w:proofErr w:type="spellEnd"/>
        <w:r w:rsidRPr="00DF1257">
          <w:rPr>
            <w:rFonts w:ascii="Times New Roman" w:eastAsia="Times New Roman" w:hAnsi="Times New Roman"/>
            <w:sz w:val="27"/>
            <w:szCs w:val="27"/>
            <w:lang w:eastAsia="ru-RU"/>
          </w:rPr>
          <w:t xml:space="preserve"> сельского поселения Нижнекамского муниципального района Республики Татарстан,</w:t>
        </w:r>
      </w:hyperlink>
      <w:r w:rsidRPr="00DF1257">
        <w:rPr>
          <w:rFonts w:ascii="Times New Roman" w:eastAsia="Times New Roman" w:hAnsi="Times New Roman"/>
          <w:sz w:val="27"/>
          <w:szCs w:val="27"/>
          <w:lang w:eastAsia="ru-RU"/>
        </w:rPr>
        <w:t xml:space="preserve"> в целях обеспечения взаимодействия и координации деятельности </w:t>
      </w:r>
      <w:proofErr w:type="spellStart"/>
      <w:r w:rsidRPr="00DF1257">
        <w:rPr>
          <w:rFonts w:ascii="Times New Roman" w:eastAsia="Times New Roman" w:hAnsi="Times New Roman"/>
          <w:sz w:val="27"/>
          <w:szCs w:val="27"/>
          <w:lang w:eastAsia="ru-RU"/>
        </w:rPr>
        <w:t>Макаровского</w:t>
      </w:r>
      <w:proofErr w:type="spellEnd"/>
      <w:r w:rsidRPr="00DF1257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сельского поселения Нижнекамского муниципального района Республики Татарстан при подготовке концессионных соглашений и эффективного использования имущества, находящегося в собственности </w:t>
      </w:r>
      <w:proofErr w:type="spellStart"/>
      <w:r w:rsidR="00B17483" w:rsidRPr="00B17483">
        <w:rPr>
          <w:rFonts w:ascii="Times New Roman" w:eastAsia="Times New Roman" w:hAnsi="Times New Roman"/>
          <w:sz w:val="27"/>
          <w:szCs w:val="27"/>
          <w:lang w:eastAsia="ru-RU"/>
        </w:rPr>
        <w:t>Сухаревского</w:t>
      </w:r>
      <w:proofErr w:type="spellEnd"/>
      <w:r w:rsidR="00B17483" w:rsidRPr="00B1748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DF1257">
        <w:rPr>
          <w:rFonts w:ascii="Times New Roman" w:eastAsia="Times New Roman" w:hAnsi="Times New Roman"/>
          <w:sz w:val="27"/>
          <w:szCs w:val="27"/>
          <w:lang w:eastAsia="ru-RU"/>
        </w:rPr>
        <w:t>сельского поселения, постановляю:</w:t>
      </w:r>
    </w:p>
    <w:p w:rsidR="00DF1257" w:rsidRDefault="00DF1257" w:rsidP="00B17483">
      <w:pPr>
        <w:pStyle w:val="a4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17483">
        <w:rPr>
          <w:rFonts w:ascii="Times New Roman" w:eastAsia="Times New Roman" w:hAnsi="Times New Roman"/>
          <w:sz w:val="27"/>
          <w:szCs w:val="27"/>
          <w:lang w:eastAsia="ru-RU"/>
        </w:rPr>
        <w:t>Утвердить Порядок формирования и утверждения перечня объектов, в отношении которых планируется заключение концессионных соглашений           (приложение 1).</w:t>
      </w:r>
    </w:p>
    <w:p w:rsidR="00DF1257" w:rsidRDefault="00DF1257" w:rsidP="00B17483">
      <w:pPr>
        <w:pStyle w:val="a4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17483">
        <w:rPr>
          <w:rFonts w:ascii="Times New Roman" w:eastAsia="Times New Roman" w:hAnsi="Times New Roman"/>
          <w:sz w:val="27"/>
          <w:szCs w:val="27"/>
          <w:lang w:eastAsia="ru-RU"/>
        </w:rPr>
        <w:t>Утвердить Порядок принятия решений о заключении концессионных соглашений (приложение 2).</w:t>
      </w:r>
    </w:p>
    <w:p w:rsidR="00DF1257" w:rsidRPr="00B17483" w:rsidRDefault="00DF1257" w:rsidP="00B17483">
      <w:pPr>
        <w:pStyle w:val="a4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proofErr w:type="gramStart"/>
      <w:r w:rsidRPr="00B17483">
        <w:rPr>
          <w:rFonts w:ascii="Times New Roman" w:eastAsia="Times New Roman" w:hAnsi="Times New Roman"/>
          <w:sz w:val="27"/>
          <w:szCs w:val="27"/>
          <w:lang w:eastAsia="ru-RU"/>
        </w:rPr>
        <w:t>Контроль за</w:t>
      </w:r>
      <w:proofErr w:type="gramEnd"/>
      <w:r w:rsidRPr="00B17483">
        <w:rPr>
          <w:rFonts w:ascii="Times New Roman" w:eastAsia="Times New Roman" w:hAnsi="Times New Roman"/>
          <w:sz w:val="27"/>
          <w:szCs w:val="27"/>
          <w:lang w:eastAsia="ru-RU"/>
        </w:rPr>
        <w:t xml:space="preserve"> исполнением данного постановления оставляю за собой. </w:t>
      </w:r>
    </w:p>
    <w:p w:rsidR="00DF1257" w:rsidRPr="00DF1257" w:rsidRDefault="00DF1257" w:rsidP="00DF125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1257" w:rsidRDefault="00DF1257" w:rsidP="00DF125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17483" w:rsidRPr="00DF1257" w:rsidRDefault="00B17483" w:rsidP="00DF1257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F1257" w:rsidRPr="00DF1257" w:rsidRDefault="00DF1257" w:rsidP="00DF1257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DF125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                 </w:t>
      </w:r>
      <w:r w:rsidR="00B17483">
        <w:rPr>
          <w:rFonts w:ascii="Times New Roman" w:eastAsia="Times New Roman" w:hAnsi="Times New Roman"/>
          <w:sz w:val="27"/>
          <w:szCs w:val="27"/>
          <w:lang w:eastAsia="ru-RU"/>
        </w:rPr>
        <w:t xml:space="preserve">Р.Р. </w:t>
      </w:r>
      <w:proofErr w:type="spellStart"/>
      <w:r w:rsidR="00B17483">
        <w:rPr>
          <w:rFonts w:ascii="Times New Roman" w:eastAsia="Times New Roman" w:hAnsi="Times New Roman"/>
          <w:sz w:val="27"/>
          <w:szCs w:val="27"/>
          <w:lang w:eastAsia="ru-RU"/>
        </w:rPr>
        <w:t>Галимов</w:t>
      </w:r>
      <w:proofErr w:type="spellEnd"/>
    </w:p>
    <w:p w:rsidR="00DF1257" w:rsidRPr="00DF1257" w:rsidRDefault="00DF1257" w:rsidP="00DF1257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F1257" w:rsidRPr="00DF1257" w:rsidRDefault="00DF1257" w:rsidP="00DF1257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F1257" w:rsidRPr="00DF1257" w:rsidRDefault="00DF1257" w:rsidP="00DF1257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F1257" w:rsidRPr="00DF1257" w:rsidRDefault="00DF1257" w:rsidP="00DF1257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F1257" w:rsidRPr="00DF1257" w:rsidRDefault="00DF1257" w:rsidP="00DF1257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F1257" w:rsidRPr="00DF1257" w:rsidRDefault="00DF1257" w:rsidP="00DF1257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25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Приложение№1</w:t>
      </w:r>
    </w:p>
    <w:p w:rsidR="00DF1257" w:rsidRPr="00DF1257" w:rsidRDefault="00DF1257" w:rsidP="00DF1257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257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постановлению исполнительного комитета </w:t>
      </w:r>
      <w:proofErr w:type="spellStart"/>
      <w:r w:rsidR="00B17483" w:rsidRPr="00B17483">
        <w:rPr>
          <w:rFonts w:ascii="Times New Roman" w:eastAsia="Times New Roman" w:hAnsi="Times New Roman"/>
          <w:sz w:val="20"/>
          <w:szCs w:val="20"/>
          <w:lang w:eastAsia="ru-RU"/>
        </w:rPr>
        <w:t>Сухаревского</w:t>
      </w:r>
      <w:proofErr w:type="spellEnd"/>
      <w:r w:rsidR="00B17483" w:rsidRPr="00B1748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F1257">
        <w:rPr>
          <w:rFonts w:ascii="Times New Roman" w:eastAsia="Times New Roman" w:hAnsi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DF1257" w:rsidRPr="00DF1257" w:rsidRDefault="001B45C1" w:rsidP="00DF1257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№ 59</w:t>
      </w:r>
      <w:r w:rsidR="00DF1257" w:rsidRPr="00DF1257">
        <w:rPr>
          <w:rFonts w:ascii="Times New Roman" w:eastAsia="Times New Roman" w:hAnsi="Times New Roman"/>
          <w:sz w:val="20"/>
          <w:szCs w:val="20"/>
          <w:lang w:eastAsia="ru-RU"/>
        </w:rPr>
        <w:t xml:space="preserve"> от 17.08.2023</w:t>
      </w:r>
    </w:p>
    <w:p w:rsidR="00DF1257" w:rsidRPr="00DF1257" w:rsidRDefault="00DF1257" w:rsidP="00DF125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1257" w:rsidRPr="00DF1257" w:rsidRDefault="00DF1257" w:rsidP="00DF1257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DF1257" w:rsidRPr="00DF1257" w:rsidRDefault="00DF1257" w:rsidP="00DF12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12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</w:p>
    <w:p w:rsidR="00DF1257" w:rsidRPr="00DF1257" w:rsidRDefault="00DF1257" w:rsidP="00DF12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12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:rsidR="00DF1257" w:rsidRPr="00DF1257" w:rsidRDefault="00DF1257" w:rsidP="00DF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257" w:rsidRPr="00DF1257" w:rsidRDefault="00DF1257" w:rsidP="00DF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Настоящий Порядок разработан в соответствии с Федеральным законом </w:t>
      </w:r>
      <w:hyperlink r:id="rId11">
        <w:r w:rsidRPr="00DF1257">
          <w:rPr>
            <w:rFonts w:ascii="Times New Roman" w:eastAsia="Times New Roman" w:hAnsi="Times New Roman"/>
            <w:sz w:val="28"/>
            <w:szCs w:val="28"/>
            <w:lang w:eastAsia="ru-RU"/>
          </w:rPr>
          <w:t>от 21.07.2005 № 115-ФЗ</w:t>
        </w:r>
      </w:hyperlink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 xml:space="preserve"> "О концессионных соглашениях" (далее - Федеральный закон № 115-ФЗ) и определяет порядок формирования и утверждения перечня объектов, являющихся муниципальной собственностью </w:t>
      </w:r>
      <w:proofErr w:type="spellStart"/>
      <w:r w:rsidR="00B17483" w:rsidRPr="00B17483">
        <w:rPr>
          <w:rFonts w:ascii="Times New Roman" w:eastAsia="Times New Roman" w:hAnsi="Times New Roman"/>
          <w:sz w:val="28"/>
          <w:szCs w:val="28"/>
          <w:lang w:eastAsia="ru-RU"/>
        </w:rPr>
        <w:t>Сухаревского</w:t>
      </w:r>
      <w:proofErr w:type="spellEnd"/>
      <w:r w:rsidR="00B17483" w:rsidRPr="00B174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 (далее - объекты), в отношении которых планируется заключение концессионных соглашений (далее - Перечень).</w:t>
      </w:r>
    </w:p>
    <w:p w:rsidR="00DF1257" w:rsidRPr="00DF1257" w:rsidRDefault="00DF1257" w:rsidP="00DF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 xml:space="preserve">2. Формирование проекта Перечня осуществляется </w:t>
      </w:r>
      <w:proofErr w:type="spellStart"/>
      <w:r w:rsidR="00B17483" w:rsidRPr="00B17483">
        <w:rPr>
          <w:rFonts w:ascii="Times New Roman" w:eastAsia="Times New Roman" w:hAnsi="Times New Roman"/>
          <w:sz w:val="28"/>
          <w:szCs w:val="28"/>
          <w:lang w:eastAsia="ru-RU"/>
        </w:rPr>
        <w:t>Сухаревск</w:t>
      </w:r>
      <w:r w:rsidR="00B17483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proofErr w:type="spellEnd"/>
      <w:r w:rsidR="00B17483" w:rsidRPr="00B174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>сельским поселением Нижнекамского муниципального района Республики Татарстан на основании сведений, содержащихся в реестре муниципальной собственности, а также в соответствии с поступившими предложениями о включении в Перечень предлагаемых к передаче в концессию объектов.</w:t>
      </w:r>
    </w:p>
    <w:p w:rsidR="00DF1257" w:rsidRPr="00DF1257" w:rsidRDefault="00DF1257" w:rsidP="00DF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>2.1.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 </w:t>
      </w:r>
    </w:p>
    <w:p w:rsidR="00DF1257" w:rsidRPr="00DF1257" w:rsidRDefault="00DF1257" w:rsidP="00DF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>2.2. Предложения направляются в исполнительный комитет по форме, указанной в приложении к настоящему Порядку.</w:t>
      </w:r>
    </w:p>
    <w:p w:rsidR="00DF1257" w:rsidRPr="00DF1257" w:rsidRDefault="00DF1257" w:rsidP="00DF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>2.3.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:rsidR="00DF1257" w:rsidRPr="00DF1257" w:rsidRDefault="00DF1257" w:rsidP="00DF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 xml:space="preserve">2.4.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 Указанный перечень после его утверждения подлежит размещению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</w:t>
      </w:r>
      <w:proofErr w:type="spellStart"/>
      <w:r w:rsidR="00B17483" w:rsidRPr="00B17483">
        <w:rPr>
          <w:rFonts w:ascii="Times New Roman" w:eastAsia="Times New Roman" w:hAnsi="Times New Roman"/>
          <w:sz w:val="28"/>
          <w:szCs w:val="28"/>
          <w:lang w:eastAsia="ru-RU"/>
        </w:rPr>
        <w:t>Сухаревского</w:t>
      </w:r>
      <w:proofErr w:type="spellEnd"/>
      <w:r w:rsidR="00B17483" w:rsidRPr="00B174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 В этом случае перечень дополнятся объектами, в отношении которых принято решении о заключении концессионного соглашения.</w:t>
      </w:r>
    </w:p>
    <w:p w:rsidR="00DF1257" w:rsidRPr="00DF1257" w:rsidRDefault="00DF1257" w:rsidP="00DF125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  <w:sectPr w:rsidR="00DF1257" w:rsidRPr="00DF1257" w:rsidSect="00D7763C">
          <w:footerReference w:type="default" r:id="rId12"/>
          <w:pgSz w:w="11906" w:h="16838"/>
          <w:pgMar w:top="851" w:right="567" w:bottom="1134" w:left="1134" w:header="708" w:footer="708" w:gutter="0"/>
          <w:cols w:space="708"/>
          <w:titlePg/>
          <w:docGrid w:linePitch="360"/>
        </w:sectPr>
      </w:pPr>
    </w:p>
    <w:p w:rsidR="00DF1257" w:rsidRPr="00DF1257" w:rsidRDefault="00DF1257" w:rsidP="00DF1257">
      <w:pPr>
        <w:spacing w:after="0" w:line="240" w:lineRule="auto"/>
        <w:ind w:left="920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25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 к Порядку </w:t>
      </w:r>
    </w:p>
    <w:p w:rsidR="00DF1257" w:rsidRPr="00DF1257" w:rsidRDefault="00DF1257" w:rsidP="00DF1257">
      <w:pPr>
        <w:spacing w:after="0" w:line="240" w:lineRule="auto"/>
        <w:ind w:left="920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257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формирования и утверждения перечня объектов, </w:t>
      </w:r>
    </w:p>
    <w:p w:rsidR="00DF1257" w:rsidRPr="00DF1257" w:rsidRDefault="00DF1257" w:rsidP="00DF1257">
      <w:pPr>
        <w:spacing w:after="0" w:line="240" w:lineRule="auto"/>
        <w:ind w:left="9204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257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DF1257">
        <w:rPr>
          <w:rFonts w:ascii="Times New Roman" w:eastAsia="Times New Roman" w:hAnsi="Times New Roman"/>
          <w:sz w:val="24"/>
          <w:szCs w:val="24"/>
          <w:lang w:eastAsia="ru-RU"/>
        </w:rPr>
        <w:t>отношении</w:t>
      </w:r>
      <w:proofErr w:type="gramEnd"/>
      <w:r w:rsidRPr="00DF1257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которых планируется  </w:t>
      </w:r>
    </w:p>
    <w:p w:rsidR="00DF1257" w:rsidRPr="00DF1257" w:rsidRDefault="00DF1257" w:rsidP="00DF1257">
      <w:pPr>
        <w:spacing w:after="0" w:line="240" w:lineRule="auto"/>
        <w:ind w:left="920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257">
        <w:rPr>
          <w:rFonts w:ascii="Times New Roman" w:eastAsia="Times New Roman" w:hAnsi="Times New Roman"/>
          <w:sz w:val="24"/>
          <w:szCs w:val="24"/>
          <w:lang w:eastAsia="ru-RU"/>
        </w:rPr>
        <w:t>заключение концессионных соглашений</w:t>
      </w:r>
    </w:p>
    <w:p w:rsidR="00DF1257" w:rsidRPr="00DF1257" w:rsidRDefault="00DF1257" w:rsidP="00DF125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257" w:rsidRPr="00DF1257" w:rsidRDefault="00DF1257" w:rsidP="00DF125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F1257" w:rsidRPr="00DF1257" w:rsidRDefault="00DF1257" w:rsidP="00DF125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F1257" w:rsidRPr="00DF1257" w:rsidRDefault="00DF1257" w:rsidP="00DF125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2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 </w:t>
      </w:r>
    </w:p>
    <w:p w:rsidR="00DF1257" w:rsidRPr="00DF1257" w:rsidRDefault="00DF1257" w:rsidP="00DF125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2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перечня объектов, в отношении которых планируется заключение концессионных соглашений</w:t>
      </w:r>
    </w:p>
    <w:p w:rsidR="00DF1257" w:rsidRPr="00DF1257" w:rsidRDefault="00DF1257" w:rsidP="00DF1257">
      <w:pPr>
        <w:keepNext/>
        <w:widowControl w:val="0"/>
        <w:spacing w:after="0" w:line="240" w:lineRule="auto"/>
        <w:jc w:val="center"/>
        <w:outlineLvl w:val="1"/>
        <w:rPr>
          <w:rFonts w:ascii="Times New Roman" w:eastAsia="Liberation Sans" w:hAnsi="Times New Roman"/>
          <w:b/>
          <w:bCs/>
          <w:sz w:val="28"/>
          <w:szCs w:val="28"/>
          <w:lang w:eastAsia="zh-CN" w:bidi="hi-IN"/>
        </w:rPr>
      </w:pPr>
    </w:p>
    <w:p w:rsidR="00DF1257" w:rsidRPr="00DF1257" w:rsidRDefault="00DF1257" w:rsidP="00DF125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 w:bidi="hi-IN"/>
        </w:rPr>
      </w:pPr>
    </w:p>
    <w:tbl>
      <w:tblPr>
        <w:tblW w:w="15265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268"/>
        <w:gridCol w:w="2741"/>
        <w:gridCol w:w="1785"/>
        <w:gridCol w:w="2205"/>
        <w:gridCol w:w="2105"/>
        <w:gridCol w:w="1654"/>
        <w:gridCol w:w="1840"/>
      </w:tblGrid>
      <w:tr w:rsidR="00DF1257" w:rsidRPr="00DF1257" w:rsidTr="0004271E">
        <w:tc>
          <w:tcPr>
            <w:tcW w:w="667" w:type="dxa"/>
            <w:vMerge w:val="restart"/>
            <w:shd w:val="clear" w:color="auto" w:fill="auto"/>
          </w:tcPr>
          <w:p w:rsidR="00DF1257" w:rsidRPr="00DF1257" w:rsidRDefault="00DF1257" w:rsidP="00DF12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1257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DF1257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DF1257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DF1257" w:rsidRPr="00DF1257" w:rsidRDefault="00DF1257" w:rsidP="00DF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1257">
              <w:rPr>
                <w:rFonts w:ascii="Times New Roman" w:eastAsia="Times New Roman" w:hAnsi="Times New Roman"/>
                <w:lang w:eastAsia="ru-RU"/>
              </w:rPr>
              <w:t>Наименование объекта, адрес и (или) местоположение объекта</w:t>
            </w:r>
          </w:p>
        </w:tc>
        <w:tc>
          <w:tcPr>
            <w:tcW w:w="2741" w:type="dxa"/>
            <w:vMerge w:val="restart"/>
            <w:shd w:val="clear" w:color="auto" w:fill="auto"/>
          </w:tcPr>
          <w:p w:rsidR="00DF1257" w:rsidRPr="00DF1257" w:rsidRDefault="00DF1257" w:rsidP="00DF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1257">
              <w:rPr>
                <w:rFonts w:ascii="Times New Roman" w:eastAsia="Times New Roman" w:hAnsi="Times New Roman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DF1257" w:rsidRPr="00DF1257" w:rsidRDefault="00DF1257" w:rsidP="00DF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1257">
              <w:rPr>
                <w:rFonts w:ascii="Times New Roman" w:eastAsia="Times New Roman" w:hAnsi="Times New Roman"/>
                <w:lang w:eastAsia="ru-RU"/>
              </w:rPr>
              <w:t>Технико-экономические показатели объекта</w:t>
            </w:r>
          </w:p>
          <w:p w:rsidR="00DF1257" w:rsidRPr="00DF1257" w:rsidRDefault="00DF1257" w:rsidP="00DF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1257">
              <w:rPr>
                <w:rFonts w:ascii="Times New Roman" w:eastAsia="Times New Roman" w:hAnsi="Times New Roman"/>
                <w:lang w:eastAsia="ru-RU"/>
              </w:rPr>
              <w:t>(площадь, установленная мощность, диаметр и т.д.)</w:t>
            </w:r>
          </w:p>
        </w:tc>
        <w:tc>
          <w:tcPr>
            <w:tcW w:w="1654" w:type="dxa"/>
            <w:vMerge w:val="restart"/>
            <w:shd w:val="clear" w:color="auto" w:fill="auto"/>
          </w:tcPr>
          <w:p w:rsidR="00DF1257" w:rsidRPr="00DF1257" w:rsidRDefault="00DF1257" w:rsidP="00DF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1257">
              <w:rPr>
                <w:rFonts w:ascii="Times New Roman" w:eastAsia="Times New Roman" w:hAnsi="Times New Roman"/>
                <w:lang w:eastAsia="ru-RU"/>
              </w:rPr>
              <w:t>Планируемая сфера применения объекта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DF1257" w:rsidRPr="00DF1257" w:rsidRDefault="00DF1257" w:rsidP="00DF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1257">
              <w:rPr>
                <w:rFonts w:ascii="Times New Roman" w:eastAsia="Times New Roman" w:hAnsi="Times New Roman"/>
                <w:lang w:eastAsia="ru-RU"/>
              </w:rPr>
              <w:t>Кадастровый номер объекта недвижимого имущества</w:t>
            </w:r>
          </w:p>
        </w:tc>
      </w:tr>
      <w:tr w:rsidR="00DF1257" w:rsidRPr="00DF1257" w:rsidTr="0004271E">
        <w:tc>
          <w:tcPr>
            <w:tcW w:w="667" w:type="dxa"/>
            <w:vMerge/>
            <w:shd w:val="clear" w:color="auto" w:fill="auto"/>
          </w:tcPr>
          <w:p w:rsidR="00DF1257" w:rsidRPr="00DF1257" w:rsidRDefault="00DF1257" w:rsidP="00DF12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DF1257" w:rsidRPr="00DF1257" w:rsidRDefault="00DF1257" w:rsidP="00DF12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DF1257" w:rsidRPr="00DF1257" w:rsidRDefault="00DF1257" w:rsidP="00DF12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DF1257" w:rsidRPr="00DF1257" w:rsidRDefault="00DF1257" w:rsidP="00DF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05" w:type="dxa"/>
            <w:shd w:val="clear" w:color="auto" w:fill="auto"/>
          </w:tcPr>
          <w:p w:rsidR="00DF1257" w:rsidRPr="00DF1257" w:rsidRDefault="00DF1257" w:rsidP="00DF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105" w:type="dxa"/>
            <w:shd w:val="clear" w:color="auto" w:fill="auto"/>
          </w:tcPr>
          <w:p w:rsidR="00DF1257" w:rsidRPr="00DF1257" w:rsidRDefault="00DF1257" w:rsidP="00DF12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2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654" w:type="dxa"/>
            <w:vMerge/>
            <w:shd w:val="clear" w:color="auto" w:fill="auto"/>
          </w:tcPr>
          <w:p w:rsidR="00DF1257" w:rsidRPr="00DF1257" w:rsidRDefault="00DF1257" w:rsidP="00DF12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DF1257" w:rsidRPr="00DF1257" w:rsidRDefault="00DF1257" w:rsidP="00DF12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1257" w:rsidRPr="00DF1257" w:rsidTr="0004271E">
        <w:tc>
          <w:tcPr>
            <w:tcW w:w="667" w:type="dxa"/>
            <w:shd w:val="clear" w:color="auto" w:fill="auto"/>
          </w:tcPr>
          <w:p w:rsidR="00DF1257" w:rsidRPr="00DF1257" w:rsidRDefault="00DF1257" w:rsidP="00DF12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F1257" w:rsidRPr="00DF1257" w:rsidRDefault="00DF1257" w:rsidP="00DF12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41" w:type="dxa"/>
            <w:shd w:val="clear" w:color="auto" w:fill="auto"/>
          </w:tcPr>
          <w:p w:rsidR="00DF1257" w:rsidRPr="00DF1257" w:rsidRDefault="00DF1257" w:rsidP="00DF12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DF1257" w:rsidRPr="00DF1257" w:rsidRDefault="00DF1257" w:rsidP="00DF12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05" w:type="dxa"/>
            <w:shd w:val="clear" w:color="auto" w:fill="auto"/>
          </w:tcPr>
          <w:p w:rsidR="00DF1257" w:rsidRPr="00DF1257" w:rsidRDefault="00DF1257" w:rsidP="00DF12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05" w:type="dxa"/>
            <w:shd w:val="clear" w:color="auto" w:fill="auto"/>
          </w:tcPr>
          <w:p w:rsidR="00DF1257" w:rsidRPr="00DF1257" w:rsidRDefault="00DF1257" w:rsidP="00DF12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4" w:type="dxa"/>
            <w:shd w:val="clear" w:color="auto" w:fill="auto"/>
          </w:tcPr>
          <w:p w:rsidR="00DF1257" w:rsidRPr="00DF1257" w:rsidRDefault="00DF1257" w:rsidP="00DF12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DF1257" w:rsidRPr="00DF1257" w:rsidRDefault="00DF1257" w:rsidP="00DF12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F1257" w:rsidRPr="00DF1257" w:rsidTr="0004271E">
        <w:tc>
          <w:tcPr>
            <w:tcW w:w="667" w:type="dxa"/>
            <w:shd w:val="clear" w:color="auto" w:fill="auto"/>
          </w:tcPr>
          <w:p w:rsidR="00DF1257" w:rsidRPr="00DF1257" w:rsidRDefault="00DF1257" w:rsidP="00DF12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DF1257" w:rsidRPr="00DF1257" w:rsidRDefault="00DF1257" w:rsidP="00DF12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41" w:type="dxa"/>
            <w:shd w:val="clear" w:color="auto" w:fill="auto"/>
          </w:tcPr>
          <w:p w:rsidR="00DF1257" w:rsidRPr="00DF1257" w:rsidRDefault="00DF1257" w:rsidP="00DF12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DF1257" w:rsidRPr="00DF1257" w:rsidRDefault="00DF1257" w:rsidP="00DF12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05" w:type="dxa"/>
            <w:shd w:val="clear" w:color="auto" w:fill="auto"/>
          </w:tcPr>
          <w:p w:rsidR="00DF1257" w:rsidRPr="00DF1257" w:rsidRDefault="00DF1257" w:rsidP="00DF12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05" w:type="dxa"/>
            <w:shd w:val="clear" w:color="auto" w:fill="auto"/>
          </w:tcPr>
          <w:p w:rsidR="00DF1257" w:rsidRPr="00DF1257" w:rsidRDefault="00DF1257" w:rsidP="00DF12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54" w:type="dxa"/>
            <w:shd w:val="clear" w:color="auto" w:fill="auto"/>
          </w:tcPr>
          <w:p w:rsidR="00DF1257" w:rsidRPr="00DF1257" w:rsidRDefault="00DF1257" w:rsidP="00DF12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DF1257" w:rsidRPr="00DF1257" w:rsidRDefault="00DF1257" w:rsidP="00DF125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F1257" w:rsidRPr="00DF1257" w:rsidRDefault="00DF1257" w:rsidP="00DF125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1257" w:rsidRPr="00DF1257" w:rsidRDefault="00DF1257" w:rsidP="00DF125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DF1257" w:rsidRPr="00DF1257" w:rsidSect="00D7763C">
          <w:pgSz w:w="16838" w:h="11906" w:orient="landscape"/>
          <w:pgMar w:top="567" w:right="1134" w:bottom="1134" w:left="851" w:header="709" w:footer="709" w:gutter="0"/>
          <w:cols w:space="708"/>
          <w:titlePg/>
          <w:docGrid w:linePitch="360"/>
        </w:sectPr>
      </w:pPr>
    </w:p>
    <w:p w:rsidR="00DF1257" w:rsidRPr="00DF1257" w:rsidRDefault="00DF1257" w:rsidP="00DF125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1257" w:rsidRPr="00DF1257" w:rsidRDefault="00DF1257" w:rsidP="00DF1257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257">
        <w:rPr>
          <w:rFonts w:ascii="Times New Roman" w:eastAsia="Times New Roman" w:hAnsi="Times New Roman"/>
          <w:sz w:val="20"/>
          <w:szCs w:val="20"/>
          <w:lang w:eastAsia="ru-RU"/>
        </w:rPr>
        <w:t>Приложение№2</w:t>
      </w:r>
    </w:p>
    <w:p w:rsidR="00DF1257" w:rsidRPr="00DF1257" w:rsidRDefault="00DF1257" w:rsidP="00DF1257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1257">
        <w:rPr>
          <w:rFonts w:ascii="Times New Roman" w:eastAsia="Times New Roman" w:hAnsi="Times New Roman"/>
          <w:sz w:val="20"/>
          <w:szCs w:val="20"/>
          <w:lang w:eastAsia="ru-RU"/>
        </w:rPr>
        <w:t xml:space="preserve">к постановлению исполнительного комитета </w:t>
      </w:r>
      <w:proofErr w:type="spellStart"/>
      <w:r w:rsidR="00B17483" w:rsidRPr="00B17483">
        <w:rPr>
          <w:rFonts w:ascii="Times New Roman" w:eastAsia="Times New Roman" w:hAnsi="Times New Roman"/>
          <w:sz w:val="20"/>
          <w:szCs w:val="20"/>
          <w:lang w:eastAsia="ru-RU"/>
        </w:rPr>
        <w:t>Сухаревского</w:t>
      </w:r>
      <w:proofErr w:type="spellEnd"/>
      <w:r w:rsidR="00B17483" w:rsidRPr="00B1748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F1257">
        <w:rPr>
          <w:rFonts w:ascii="Times New Roman" w:eastAsia="Times New Roman" w:hAnsi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DF1257" w:rsidRPr="00DF1257" w:rsidRDefault="001B45C1" w:rsidP="00DF1257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№ 59</w:t>
      </w:r>
      <w:bookmarkStart w:id="0" w:name="_GoBack"/>
      <w:bookmarkEnd w:id="0"/>
      <w:r w:rsidR="00DF1257" w:rsidRPr="00DF1257">
        <w:rPr>
          <w:rFonts w:ascii="Times New Roman" w:eastAsia="Times New Roman" w:hAnsi="Times New Roman"/>
          <w:sz w:val="20"/>
          <w:szCs w:val="20"/>
          <w:lang w:eastAsia="ru-RU"/>
        </w:rPr>
        <w:t xml:space="preserve"> от 17.08.2023</w:t>
      </w:r>
    </w:p>
    <w:p w:rsidR="00DF1257" w:rsidRPr="00DF1257" w:rsidRDefault="00DF1257" w:rsidP="00DF1257">
      <w:pPr>
        <w:spacing w:after="0" w:line="240" w:lineRule="auto"/>
        <w:ind w:right="-1"/>
        <w:jc w:val="right"/>
        <w:rPr>
          <w:rFonts w:ascii="Times New Roman" w:eastAsia="Times New Roman" w:hAnsi="Times New Roman"/>
          <w:lang w:eastAsia="ru-RU"/>
        </w:rPr>
      </w:pPr>
    </w:p>
    <w:p w:rsidR="00DF1257" w:rsidRPr="00DF1257" w:rsidRDefault="00DF1257" w:rsidP="00DF12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F1257" w:rsidRPr="00DF1257" w:rsidRDefault="00DF1257" w:rsidP="00DF12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F1257" w:rsidRPr="00DF1257" w:rsidRDefault="00DF1257" w:rsidP="00DF12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12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</w:p>
    <w:p w:rsidR="00DF1257" w:rsidRPr="00DF1257" w:rsidRDefault="00DF1257" w:rsidP="00DF12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12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принятия решений о заключении концессионных соглашений </w:t>
      </w:r>
    </w:p>
    <w:p w:rsidR="00DF1257" w:rsidRPr="00DF1257" w:rsidRDefault="00DF1257" w:rsidP="00DF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257" w:rsidRPr="00DF1257" w:rsidRDefault="00DF1257" w:rsidP="00DF125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12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1.Общие положения</w:t>
      </w:r>
    </w:p>
    <w:p w:rsidR="00DF1257" w:rsidRPr="00DF1257" w:rsidRDefault="00DF1257" w:rsidP="00DF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257" w:rsidRPr="00DF1257" w:rsidRDefault="00DF1257" w:rsidP="00DF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 xml:space="preserve">1.1. Порядок принятия решений о заключении концессионных соглашений (далее - Порядок) разработан в соответствии с </w:t>
      </w:r>
      <w:hyperlink r:id="rId13">
        <w:r w:rsidRPr="00DF1257">
          <w:rPr>
            <w:rFonts w:ascii="Times New Roman" w:eastAsia="Times New Roman" w:hAnsi="Times New Roman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 xml:space="preserve">, Федеральным законом от </w:t>
      </w:r>
      <w:hyperlink r:id="rId14">
        <w:r w:rsidRPr="00DF1257">
          <w:rPr>
            <w:rFonts w:ascii="Times New Roman" w:eastAsia="Times New Roman" w:hAnsi="Times New Roman"/>
            <w:sz w:val="28"/>
            <w:szCs w:val="28"/>
            <w:lang w:eastAsia="ru-RU"/>
          </w:rPr>
          <w:t>21.07.2005 N 115-ФЗ</w:t>
        </w:r>
      </w:hyperlink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 xml:space="preserve"> "О концессионных соглашениях".</w:t>
      </w:r>
    </w:p>
    <w:p w:rsidR="00DF1257" w:rsidRPr="00DF1257" w:rsidRDefault="00DF1257" w:rsidP="00DF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 xml:space="preserve">1.2. В настоящем Порядке применяются понятия и термины, установленные Федеральным законом от </w:t>
      </w:r>
      <w:hyperlink r:id="rId15">
        <w:r w:rsidRPr="00DF1257">
          <w:rPr>
            <w:rFonts w:ascii="Times New Roman" w:eastAsia="Times New Roman" w:hAnsi="Times New Roman"/>
            <w:sz w:val="28"/>
            <w:szCs w:val="28"/>
            <w:lang w:eastAsia="ru-RU"/>
          </w:rPr>
          <w:t>21.07.2005 N 115-ФЗ</w:t>
        </w:r>
      </w:hyperlink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 xml:space="preserve"> "О концессионных соглашениях", иными действующими нормативными правовыми актами.</w:t>
      </w:r>
    </w:p>
    <w:p w:rsidR="00DF1257" w:rsidRPr="00DF1257" w:rsidRDefault="00DF1257" w:rsidP="00DF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 xml:space="preserve">1.3. Руководитель исполнительного комитета принимает решение о заключении концессионного соглашения и заключает концессионное соглашение от имени </w:t>
      </w:r>
      <w:proofErr w:type="spellStart"/>
      <w:r w:rsidR="00B17483" w:rsidRPr="00B17483">
        <w:rPr>
          <w:rFonts w:ascii="Times New Roman" w:eastAsia="Times New Roman" w:hAnsi="Times New Roman"/>
          <w:sz w:val="28"/>
          <w:szCs w:val="28"/>
          <w:lang w:eastAsia="ru-RU"/>
        </w:rPr>
        <w:t>Сухаревского</w:t>
      </w:r>
      <w:proofErr w:type="spellEnd"/>
      <w:r w:rsidR="00B17483" w:rsidRPr="00B174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Татарстан.</w:t>
      </w:r>
    </w:p>
    <w:p w:rsidR="00DF1257" w:rsidRPr="00DF1257" w:rsidRDefault="00DF1257" w:rsidP="00DF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 xml:space="preserve">1.4. Концессионером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</w:t>
      </w:r>
      <w:proofErr w:type="gramStart"/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>два и более указанных юридических лиц</w:t>
      </w:r>
      <w:proofErr w:type="gramEnd"/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1257" w:rsidRPr="00DF1257" w:rsidRDefault="00DF1257" w:rsidP="00DF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 xml:space="preserve">1.5. Инициаторами заключения концессионного соглашения являются как </w:t>
      </w:r>
      <w:proofErr w:type="spellStart"/>
      <w:r w:rsidR="00B17483" w:rsidRPr="00B17483">
        <w:rPr>
          <w:rFonts w:ascii="Times New Roman" w:eastAsia="Times New Roman" w:hAnsi="Times New Roman"/>
          <w:sz w:val="28"/>
          <w:szCs w:val="28"/>
          <w:lang w:eastAsia="ru-RU"/>
        </w:rPr>
        <w:t>Сухаревско</w:t>
      </w:r>
      <w:r w:rsidR="00B1748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spellEnd"/>
      <w:r w:rsidR="00B17483" w:rsidRPr="00B174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сельское поселение Нижнекамского муниципального района Республики Татарстан, так и лица, отвечающие требованиям Федерального закона </w:t>
      </w:r>
      <w:hyperlink r:id="rId16">
        <w:r w:rsidRPr="00DF1257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от </w:t>
        </w:r>
      </w:hyperlink>
      <w:hyperlink r:id="rId17">
        <w:r w:rsidRPr="00DF1257">
          <w:rPr>
            <w:rFonts w:ascii="Times New Roman" w:eastAsia="Times New Roman" w:hAnsi="Times New Roman"/>
            <w:sz w:val="28"/>
            <w:szCs w:val="28"/>
            <w:lang w:eastAsia="ru-RU"/>
          </w:rPr>
          <w:t>21.05.2005 N 115-ФЗ</w:t>
        </w:r>
      </w:hyperlink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 xml:space="preserve"> "О концессионных соглашениях" (далее - инициатор).</w:t>
      </w:r>
    </w:p>
    <w:p w:rsidR="00DF1257" w:rsidRPr="00DF1257" w:rsidRDefault="00DF1257" w:rsidP="00DF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 xml:space="preserve">1.6. Сторона, несущая расходы по регистрации концессионного соглашения, регистрации права владения и пользования концессионера имуществом, входящим в состав объекта концессионного соглашения, имуществом, предоставленным концессионеру в соответствии с частью 9 статьи 3 Федерального закона от </w:t>
      </w:r>
      <w:hyperlink r:id="rId18">
        <w:r w:rsidRPr="00DF1257">
          <w:rPr>
            <w:rFonts w:ascii="Times New Roman" w:eastAsia="Times New Roman" w:hAnsi="Times New Roman"/>
            <w:sz w:val="28"/>
            <w:szCs w:val="28"/>
            <w:lang w:eastAsia="ru-RU"/>
          </w:rPr>
          <w:t>21.07.2005 N 115-ФЗ</w:t>
        </w:r>
      </w:hyperlink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 xml:space="preserve"> "О концессионных отношениях", определяется концессионным соглашением.</w:t>
      </w:r>
    </w:p>
    <w:p w:rsidR="00DF1257" w:rsidRPr="00DF1257" w:rsidRDefault="00DF1257" w:rsidP="00DF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>1.7. Стоимость имущества, переданного по концессионному соглашению, определяется в размере рыночной стоимости.</w:t>
      </w:r>
    </w:p>
    <w:p w:rsidR="00DF1257" w:rsidRPr="00DF1257" w:rsidRDefault="00DF1257" w:rsidP="00DF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>1.8. Размер концессионной платы, форма,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DF1257" w:rsidRPr="00DF1257" w:rsidRDefault="00DF1257" w:rsidP="00DF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 xml:space="preserve">1.9. Срок действия концессионного соглашения устанавливается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соглашения, срока окупаемости таких инвестиций, срока получения концессионером объема </w:t>
      </w:r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валовой выручки, определенных концессионным соглашением, срока исполнения других обязательств концессионера и (или) </w:t>
      </w:r>
      <w:proofErr w:type="spellStart"/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>концедента</w:t>
      </w:r>
      <w:proofErr w:type="spellEnd"/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концессионному соглашению. Срок действия концессионного соглашения может быть продлен, но не более чем на пять лет по соглашению сторон на основании постановления исполнительного комитета </w:t>
      </w:r>
      <w:proofErr w:type="spellStart"/>
      <w:r w:rsidR="00B17483" w:rsidRPr="00B17483">
        <w:rPr>
          <w:rFonts w:ascii="Times New Roman" w:eastAsia="Times New Roman" w:hAnsi="Times New Roman"/>
          <w:sz w:val="28"/>
          <w:szCs w:val="28"/>
          <w:lang w:eastAsia="ru-RU"/>
        </w:rPr>
        <w:t>Сухаревского</w:t>
      </w:r>
      <w:proofErr w:type="spellEnd"/>
      <w:r w:rsidR="00B17483" w:rsidRPr="00B174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Нижнекамского муниципального района Республики Татарстан. </w:t>
      </w:r>
    </w:p>
    <w:p w:rsidR="00DF1257" w:rsidRPr="00DF1257" w:rsidRDefault="00DF1257" w:rsidP="00DF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 xml:space="preserve">1.10. 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</w:t>
      </w:r>
      <w:proofErr w:type="spellStart"/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>концеденту</w:t>
      </w:r>
      <w:proofErr w:type="spellEnd"/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залог прав концессионера по договору банковского вклада (депозита), осуществления страхования риска ответственности концессионера за нарушение обязательств по концессионному соглашению. </w:t>
      </w:r>
    </w:p>
    <w:p w:rsidR="00DF1257" w:rsidRPr="00DF1257" w:rsidRDefault="00DF1257" w:rsidP="00DF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>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безотзывная банковская гарантия должна быть непередаваемой и соответствовать иным утвержденным Правительством Российской Федерации требованиям к таким гарантиям.</w:t>
      </w:r>
    </w:p>
    <w:p w:rsidR="00DF1257" w:rsidRPr="00DF1257" w:rsidRDefault="00DF1257" w:rsidP="00DF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 xml:space="preserve">1.11. Заключение, изменение и прекращение концессионных соглашений осуществляется в порядке, предусмотренном </w:t>
      </w:r>
      <w:hyperlink r:id="rId19">
        <w:r w:rsidRPr="00DF1257">
          <w:rPr>
            <w:rFonts w:ascii="Times New Roman" w:eastAsia="Times New Roman" w:hAnsi="Times New Roman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 xml:space="preserve"> и Федеральным законом </w:t>
      </w:r>
      <w:hyperlink r:id="rId20">
        <w:r w:rsidRPr="00DF1257">
          <w:rPr>
            <w:rFonts w:ascii="Times New Roman" w:eastAsia="Times New Roman" w:hAnsi="Times New Roman"/>
            <w:sz w:val="28"/>
            <w:szCs w:val="28"/>
            <w:lang w:eastAsia="ru-RU"/>
          </w:rPr>
          <w:t>от 21.07.2005 № 115-ФЗ</w:t>
        </w:r>
      </w:hyperlink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 xml:space="preserve"> "О концессионных соглашениях".</w:t>
      </w:r>
    </w:p>
    <w:p w:rsidR="00DF1257" w:rsidRPr="00DF1257" w:rsidRDefault="00DF1257" w:rsidP="00DF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257" w:rsidRPr="00DF1257" w:rsidRDefault="00DF1257" w:rsidP="00DF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257" w:rsidRPr="00DF1257" w:rsidRDefault="00DF1257" w:rsidP="00DF125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12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Организация подготовки и принятия решения о передаче объекта в концессию по инициативе лица, соответствующего требованиям Федерального закона от </w:t>
      </w:r>
      <w:hyperlink r:id="rId21">
        <w:r w:rsidRPr="00DF1257"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21.05.2005 N 115-ФЗ</w:t>
        </w:r>
      </w:hyperlink>
      <w:hyperlink r:id="rId22">
        <w:r w:rsidRPr="00DF1257"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 xml:space="preserve"> </w:t>
        </w:r>
      </w:hyperlink>
      <w:r w:rsidRPr="00DF12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"О концессионных соглашениях"</w:t>
      </w:r>
    </w:p>
    <w:p w:rsidR="00DF1257" w:rsidRPr="00DF1257" w:rsidRDefault="00DF1257" w:rsidP="00DF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257" w:rsidRPr="00DF1257" w:rsidRDefault="00DF1257" w:rsidP="00DF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proofErr w:type="gramStart"/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соответствующие требованиям Федерального закона </w:t>
      </w:r>
      <w:hyperlink r:id="rId23">
        <w:r w:rsidRPr="00DF1257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от </w:t>
        </w:r>
      </w:hyperlink>
      <w:hyperlink r:id="rId24">
        <w:r w:rsidRPr="00DF1257">
          <w:rPr>
            <w:rFonts w:ascii="Times New Roman" w:eastAsia="Times New Roman" w:hAnsi="Times New Roman"/>
            <w:sz w:val="28"/>
            <w:szCs w:val="28"/>
            <w:lang w:eastAsia="ru-RU"/>
          </w:rPr>
          <w:t>21.05.2005 N 115-ФЗ</w:t>
        </w:r>
      </w:hyperlink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 xml:space="preserve"> "О концессионных соглашениях", подают предложение о заключении концессионного соглашения в исполнительный комитет </w:t>
      </w:r>
      <w:proofErr w:type="spellStart"/>
      <w:r w:rsidR="00B17483" w:rsidRPr="00B17483">
        <w:rPr>
          <w:rFonts w:ascii="Times New Roman" w:eastAsia="Times New Roman" w:hAnsi="Times New Roman"/>
          <w:sz w:val="28"/>
          <w:szCs w:val="28"/>
          <w:lang w:eastAsia="ru-RU"/>
        </w:rPr>
        <w:t>Сухаревского</w:t>
      </w:r>
      <w:proofErr w:type="spellEnd"/>
      <w:r w:rsidR="00B17483" w:rsidRPr="00B174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Нижнекамского муниципального района Республики Татарстан по форме, утвержденной Постановлением Правительства Российской Федерации от 31.03.2015 N 300 "Об утверждении формы предложения о заключении концессионного соглашения с лицом, выступающим с инициативой заключения концессионного соглашения". </w:t>
      </w:r>
      <w:proofErr w:type="gramEnd"/>
    </w:p>
    <w:p w:rsidR="00DF1257" w:rsidRPr="00DF1257" w:rsidRDefault="00DF1257" w:rsidP="00DF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 xml:space="preserve">Лицо, выступающее с инициативой заключения концессионного соглашения,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 статьей 10 Федерального закона от </w:t>
      </w:r>
      <w:hyperlink r:id="rId25">
        <w:r w:rsidRPr="00DF1257">
          <w:rPr>
            <w:rFonts w:ascii="Times New Roman" w:eastAsia="Times New Roman" w:hAnsi="Times New Roman"/>
            <w:sz w:val="28"/>
            <w:szCs w:val="28"/>
            <w:lang w:eastAsia="ru-RU"/>
          </w:rPr>
          <w:t>21.05.2005 N 115-ФЗ</w:t>
        </w:r>
      </w:hyperlink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 xml:space="preserve"> "О концессионных соглашениях", и иные не противоречащие законодательству Российской Федерации условия.</w:t>
      </w:r>
    </w:p>
    <w:p w:rsidR="00DF1257" w:rsidRPr="00DF1257" w:rsidRDefault="00DF1257" w:rsidP="00DF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 xml:space="preserve">2.2. Исполнительный комитет </w:t>
      </w:r>
      <w:proofErr w:type="spellStart"/>
      <w:r w:rsidR="00B17483" w:rsidRPr="00B17483">
        <w:rPr>
          <w:rFonts w:ascii="Times New Roman" w:eastAsia="Times New Roman" w:hAnsi="Times New Roman"/>
          <w:sz w:val="28"/>
          <w:szCs w:val="28"/>
          <w:lang w:eastAsia="ru-RU"/>
        </w:rPr>
        <w:t>Сухаревского</w:t>
      </w:r>
      <w:proofErr w:type="spellEnd"/>
      <w:r w:rsidR="00B17483" w:rsidRPr="00B174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Нижнекамского муниципального района Республики Татарстан организует заседание рабочей группы по рассмотрению предложения и заключению концессионного соглашения (либо об отказе в заключение концессионного </w:t>
      </w:r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соглашения), оформляет заключение в соответствии с решением рабочей группы на основании оценок исполнительного комитета о:</w:t>
      </w:r>
    </w:p>
    <w:p w:rsidR="00DF1257" w:rsidRPr="00DF1257" w:rsidRDefault="00DF1257" w:rsidP="00DF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>1) возможности заключения концессионного соглашения на представленных в предложении о заключении концессионного соглашения условиях;</w:t>
      </w:r>
    </w:p>
    <w:p w:rsidR="00DF1257" w:rsidRPr="00DF1257" w:rsidRDefault="00DF1257" w:rsidP="00DF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>2) возможности заключения концессионного соглашения на иных условиях;</w:t>
      </w:r>
    </w:p>
    <w:p w:rsidR="00DF1257" w:rsidRPr="00DF1257" w:rsidRDefault="00DF1257" w:rsidP="00DF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>3) невозможности заключения концессионного соглашения с указанием основания отказа.</w:t>
      </w:r>
    </w:p>
    <w:p w:rsidR="00DF1257" w:rsidRPr="00DF1257" w:rsidRDefault="00DF1257" w:rsidP="00DF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 xml:space="preserve">2.3. Решение о возможности заключения концессионного соглашения либо об отказе в заключение концессионного соглашения принимается исполнительным комитетом </w:t>
      </w:r>
      <w:proofErr w:type="spellStart"/>
      <w:r w:rsidR="00B17483" w:rsidRPr="00B17483">
        <w:rPr>
          <w:rFonts w:ascii="Times New Roman" w:eastAsia="Times New Roman" w:hAnsi="Times New Roman"/>
          <w:sz w:val="28"/>
          <w:szCs w:val="28"/>
          <w:lang w:eastAsia="ru-RU"/>
        </w:rPr>
        <w:t>Сухаревского</w:t>
      </w:r>
      <w:proofErr w:type="spellEnd"/>
      <w:r w:rsidR="00B17483" w:rsidRPr="00B174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Татарстан. В соответствии с решением рабочей группы.</w:t>
      </w:r>
    </w:p>
    <w:p w:rsidR="00DF1257" w:rsidRPr="00DF1257" w:rsidRDefault="00DF1257" w:rsidP="00DF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 в заключение концессионного соглашения допускается в случаях, предусмотренных Федеральным законом от </w:t>
      </w:r>
      <w:hyperlink r:id="rId26">
        <w:r w:rsidRPr="00DF1257">
          <w:rPr>
            <w:rFonts w:ascii="Times New Roman" w:eastAsia="Times New Roman" w:hAnsi="Times New Roman"/>
            <w:sz w:val="28"/>
            <w:szCs w:val="28"/>
            <w:lang w:eastAsia="ru-RU"/>
          </w:rPr>
          <w:t>21.05.2005 N 115-ФЗ</w:t>
        </w:r>
      </w:hyperlink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 xml:space="preserve"> "О концессионных соглашениях". </w:t>
      </w:r>
    </w:p>
    <w:p w:rsidR="00DF1257" w:rsidRPr="00DF1257" w:rsidRDefault="00DF1257" w:rsidP="00DF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рассмотрения предложения о возможности заключения концессионного соглашения и принятия решения о возможности заключения концессионного соглашения, процедура заключения концессионного соглашения установлены Федеральным законом </w:t>
      </w:r>
      <w:hyperlink r:id="rId27">
        <w:r w:rsidRPr="00DF1257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от </w:t>
        </w:r>
      </w:hyperlink>
      <w:hyperlink r:id="rId28">
        <w:r w:rsidRPr="00DF1257">
          <w:rPr>
            <w:rFonts w:ascii="Times New Roman" w:eastAsia="Times New Roman" w:hAnsi="Times New Roman"/>
            <w:sz w:val="28"/>
            <w:szCs w:val="28"/>
            <w:lang w:eastAsia="ru-RU"/>
          </w:rPr>
          <w:t>21.05.2005 N 115-ФЗ</w:t>
        </w:r>
      </w:hyperlink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 xml:space="preserve"> "О концессионных соглашениях".</w:t>
      </w:r>
    </w:p>
    <w:p w:rsidR="00DF1257" w:rsidRPr="00DF1257" w:rsidRDefault="00DF1257" w:rsidP="00DF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257" w:rsidRPr="00DF1257" w:rsidRDefault="00DF1257" w:rsidP="00DF125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12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</w:t>
      </w:r>
      <w:proofErr w:type="gramStart"/>
      <w:r w:rsidRPr="00DF12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DF12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исполнением концессионных соглашений</w:t>
      </w:r>
    </w:p>
    <w:p w:rsidR="00DF1257" w:rsidRPr="00DF1257" w:rsidRDefault="00DF1257" w:rsidP="00DF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F1257" w:rsidRPr="00DF1257" w:rsidRDefault="00DF1257" w:rsidP="00DF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концессионного соглашения осуществляет исполнительный комитет </w:t>
      </w:r>
      <w:proofErr w:type="spellStart"/>
      <w:r w:rsidR="00B17483" w:rsidRPr="00B17483">
        <w:rPr>
          <w:rFonts w:ascii="Times New Roman" w:eastAsia="Times New Roman" w:hAnsi="Times New Roman"/>
          <w:sz w:val="28"/>
          <w:szCs w:val="28"/>
          <w:lang w:eastAsia="ru-RU"/>
        </w:rPr>
        <w:t>Сухаревского</w:t>
      </w:r>
      <w:proofErr w:type="spellEnd"/>
      <w:r w:rsidR="00B17483" w:rsidRPr="00B174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125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Татарстан, чьи полномочия распространяются на объект концессионного соглашения.</w:t>
      </w:r>
    </w:p>
    <w:p w:rsidR="005E6789" w:rsidRPr="00D33BFA" w:rsidRDefault="005E6789" w:rsidP="00CD12C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sectPr w:rsidR="005E6789" w:rsidRPr="00D33BFA" w:rsidSect="003862C3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3E6" w:rsidRDefault="000363E6">
      <w:pPr>
        <w:spacing w:after="0" w:line="240" w:lineRule="auto"/>
      </w:pPr>
      <w:r>
        <w:separator/>
      </w:r>
    </w:p>
  </w:endnote>
  <w:endnote w:type="continuationSeparator" w:id="0">
    <w:p w:rsidR="000363E6" w:rsidRDefault="00036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A9B" w:rsidRDefault="00DF1257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45C1">
      <w:rPr>
        <w:noProof/>
      </w:rPr>
      <w:t>5</w:t>
    </w:r>
    <w:r>
      <w:fldChar w:fldCharType="end"/>
    </w:r>
  </w:p>
  <w:p w:rsidR="00437A9B" w:rsidRDefault="000363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3E6" w:rsidRDefault="000363E6">
      <w:pPr>
        <w:spacing w:after="0" w:line="240" w:lineRule="auto"/>
      </w:pPr>
      <w:r>
        <w:separator/>
      </w:r>
    </w:p>
  </w:footnote>
  <w:footnote w:type="continuationSeparator" w:id="0">
    <w:p w:rsidR="000363E6" w:rsidRDefault="00036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DAA"/>
    <w:multiLevelType w:val="hybridMultilevel"/>
    <w:tmpl w:val="A1247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C047E"/>
    <w:multiLevelType w:val="hybridMultilevel"/>
    <w:tmpl w:val="DC2E5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5C55438"/>
    <w:multiLevelType w:val="multilevel"/>
    <w:tmpl w:val="C66E1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E1EC2"/>
    <w:multiLevelType w:val="hybridMultilevel"/>
    <w:tmpl w:val="5EEA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04034"/>
    <w:rsid w:val="0001216A"/>
    <w:rsid w:val="000314BB"/>
    <w:rsid w:val="000363E6"/>
    <w:rsid w:val="000429F8"/>
    <w:rsid w:val="00043A7B"/>
    <w:rsid w:val="00043F68"/>
    <w:rsid w:val="00053185"/>
    <w:rsid w:val="000573B8"/>
    <w:rsid w:val="00062C35"/>
    <w:rsid w:val="000650BE"/>
    <w:rsid w:val="0007052A"/>
    <w:rsid w:val="00090572"/>
    <w:rsid w:val="00096D08"/>
    <w:rsid w:val="000A255F"/>
    <w:rsid w:val="000B05D8"/>
    <w:rsid w:val="000D2182"/>
    <w:rsid w:val="000D3FF0"/>
    <w:rsid w:val="0010550B"/>
    <w:rsid w:val="001068BA"/>
    <w:rsid w:val="001135F6"/>
    <w:rsid w:val="00116807"/>
    <w:rsid w:val="00116837"/>
    <w:rsid w:val="00136AAF"/>
    <w:rsid w:val="00141B86"/>
    <w:rsid w:val="00153201"/>
    <w:rsid w:val="00181A48"/>
    <w:rsid w:val="00185B2C"/>
    <w:rsid w:val="001911BA"/>
    <w:rsid w:val="001B0D76"/>
    <w:rsid w:val="001B2B64"/>
    <w:rsid w:val="001B45C1"/>
    <w:rsid w:val="001B6ACD"/>
    <w:rsid w:val="001C2685"/>
    <w:rsid w:val="001C3261"/>
    <w:rsid w:val="001D367C"/>
    <w:rsid w:val="001F3E99"/>
    <w:rsid w:val="00202FD5"/>
    <w:rsid w:val="00204419"/>
    <w:rsid w:val="0026187B"/>
    <w:rsid w:val="00281D2E"/>
    <w:rsid w:val="00291C75"/>
    <w:rsid w:val="002A1F1B"/>
    <w:rsid w:val="002B72F9"/>
    <w:rsid w:val="002D245A"/>
    <w:rsid w:val="002D40B5"/>
    <w:rsid w:val="002F34A0"/>
    <w:rsid w:val="0030188A"/>
    <w:rsid w:val="0031296B"/>
    <w:rsid w:val="00325EFF"/>
    <w:rsid w:val="00356514"/>
    <w:rsid w:val="003635F6"/>
    <w:rsid w:val="003664FE"/>
    <w:rsid w:val="003862C3"/>
    <w:rsid w:val="00394046"/>
    <w:rsid w:val="003A0DCE"/>
    <w:rsid w:val="003B2080"/>
    <w:rsid w:val="003B4389"/>
    <w:rsid w:val="003B4616"/>
    <w:rsid w:val="003C423C"/>
    <w:rsid w:val="003C4799"/>
    <w:rsid w:val="003F52E0"/>
    <w:rsid w:val="0041543C"/>
    <w:rsid w:val="004272A4"/>
    <w:rsid w:val="00430B0A"/>
    <w:rsid w:val="00452707"/>
    <w:rsid w:val="00473D86"/>
    <w:rsid w:val="00475813"/>
    <w:rsid w:val="00477AFE"/>
    <w:rsid w:val="00480F63"/>
    <w:rsid w:val="00482C43"/>
    <w:rsid w:val="00496091"/>
    <w:rsid w:val="004A282C"/>
    <w:rsid w:val="004B264E"/>
    <w:rsid w:val="004B5A35"/>
    <w:rsid w:val="004B5C87"/>
    <w:rsid w:val="004D45A2"/>
    <w:rsid w:val="004E0B32"/>
    <w:rsid w:val="00522497"/>
    <w:rsid w:val="0053304B"/>
    <w:rsid w:val="005359A8"/>
    <w:rsid w:val="00542755"/>
    <w:rsid w:val="00544EA3"/>
    <w:rsid w:val="00553B0E"/>
    <w:rsid w:val="0055512F"/>
    <w:rsid w:val="00576003"/>
    <w:rsid w:val="0059084C"/>
    <w:rsid w:val="005A07EB"/>
    <w:rsid w:val="005A5422"/>
    <w:rsid w:val="005A7E67"/>
    <w:rsid w:val="005D1CAA"/>
    <w:rsid w:val="005E6789"/>
    <w:rsid w:val="005F49CC"/>
    <w:rsid w:val="00601AFB"/>
    <w:rsid w:val="0061354B"/>
    <w:rsid w:val="00630FE8"/>
    <w:rsid w:val="006707E8"/>
    <w:rsid w:val="006A5811"/>
    <w:rsid w:val="006B49D6"/>
    <w:rsid w:val="006C32F5"/>
    <w:rsid w:val="006C4051"/>
    <w:rsid w:val="006D7510"/>
    <w:rsid w:val="006F738B"/>
    <w:rsid w:val="007054F4"/>
    <w:rsid w:val="00745E43"/>
    <w:rsid w:val="007749E8"/>
    <w:rsid w:val="00791DCC"/>
    <w:rsid w:val="007965C7"/>
    <w:rsid w:val="007C07DE"/>
    <w:rsid w:val="007F47EC"/>
    <w:rsid w:val="00832291"/>
    <w:rsid w:val="008549CE"/>
    <w:rsid w:val="008574D2"/>
    <w:rsid w:val="008772EB"/>
    <w:rsid w:val="00885CAA"/>
    <w:rsid w:val="008928FD"/>
    <w:rsid w:val="0089302C"/>
    <w:rsid w:val="008941A6"/>
    <w:rsid w:val="008B2C0A"/>
    <w:rsid w:val="008C2490"/>
    <w:rsid w:val="008D6D96"/>
    <w:rsid w:val="008E2DA4"/>
    <w:rsid w:val="008F0522"/>
    <w:rsid w:val="008F46B4"/>
    <w:rsid w:val="008F5962"/>
    <w:rsid w:val="009108C5"/>
    <w:rsid w:val="00910C17"/>
    <w:rsid w:val="009216B0"/>
    <w:rsid w:val="009323D2"/>
    <w:rsid w:val="00935D63"/>
    <w:rsid w:val="00961DFE"/>
    <w:rsid w:val="00972C5E"/>
    <w:rsid w:val="009805B3"/>
    <w:rsid w:val="0098324D"/>
    <w:rsid w:val="009D5C7C"/>
    <w:rsid w:val="009E1F19"/>
    <w:rsid w:val="00A04A69"/>
    <w:rsid w:val="00A206EF"/>
    <w:rsid w:val="00A34A2C"/>
    <w:rsid w:val="00A42712"/>
    <w:rsid w:val="00A4607D"/>
    <w:rsid w:val="00A54A71"/>
    <w:rsid w:val="00A875EC"/>
    <w:rsid w:val="00AB15C4"/>
    <w:rsid w:val="00AB1A1D"/>
    <w:rsid w:val="00AB63B4"/>
    <w:rsid w:val="00AC0A78"/>
    <w:rsid w:val="00AE6F43"/>
    <w:rsid w:val="00B04797"/>
    <w:rsid w:val="00B13481"/>
    <w:rsid w:val="00B17483"/>
    <w:rsid w:val="00B37E4D"/>
    <w:rsid w:val="00B46BC4"/>
    <w:rsid w:val="00B607AF"/>
    <w:rsid w:val="00B77C2F"/>
    <w:rsid w:val="00B83276"/>
    <w:rsid w:val="00B967DD"/>
    <w:rsid w:val="00BC15B2"/>
    <w:rsid w:val="00BE27E8"/>
    <w:rsid w:val="00BF4FF9"/>
    <w:rsid w:val="00C27BD5"/>
    <w:rsid w:val="00C411BE"/>
    <w:rsid w:val="00C462ED"/>
    <w:rsid w:val="00C656B6"/>
    <w:rsid w:val="00C7321C"/>
    <w:rsid w:val="00C97BEE"/>
    <w:rsid w:val="00CC7AC4"/>
    <w:rsid w:val="00CD12C9"/>
    <w:rsid w:val="00CD7A1F"/>
    <w:rsid w:val="00CE1B0B"/>
    <w:rsid w:val="00CE5F4E"/>
    <w:rsid w:val="00CF0357"/>
    <w:rsid w:val="00D02A71"/>
    <w:rsid w:val="00D33BFA"/>
    <w:rsid w:val="00D64CA8"/>
    <w:rsid w:val="00D73990"/>
    <w:rsid w:val="00D83EE6"/>
    <w:rsid w:val="00DA110B"/>
    <w:rsid w:val="00DA2452"/>
    <w:rsid w:val="00DA6B8C"/>
    <w:rsid w:val="00DB0FD8"/>
    <w:rsid w:val="00DC698E"/>
    <w:rsid w:val="00DC7F7F"/>
    <w:rsid w:val="00DD008D"/>
    <w:rsid w:val="00DE7B26"/>
    <w:rsid w:val="00DF1257"/>
    <w:rsid w:val="00E426B7"/>
    <w:rsid w:val="00E6388D"/>
    <w:rsid w:val="00E666E7"/>
    <w:rsid w:val="00E70176"/>
    <w:rsid w:val="00E85187"/>
    <w:rsid w:val="00E954A1"/>
    <w:rsid w:val="00EA10B0"/>
    <w:rsid w:val="00EA2C11"/>
    <w:rsid w:val="00EA4C7B"/>
    <w:rsid w:val="00EA7D14"/>
    <w:rsid w:val="00EC024A"/>
    <w:rsid w:val="00EC2AEF"/>
    <w:rsid w:val="00ED3779"/>
    <w:rsid w:val="00F00F5D"/>
    <w:rsid w:val="00F133BD"/>
    <w:rsid w:val="00F175C8"/>
    <w:rsid w:val="00F20861"/>
    <w:rsid w:val="00F20BD7"/>
    <w:rsid w:val="00F23236"/>
    <w:rsid w:val="00F276B2"/>
    <w:rsid w:val="00F32CCA"/>
    <w:rsid w:val="00F34F7C"/>
    <w:rsid w:val="00F44E2B"/>
    <w:rsid w:val="00F50FE0"/>
    <w:rsid w:val="00F55C7B"/>
    <w:rsid w:val="00F66FF2"/>
    <w:rsid w:val="00FA60CE"/>
    <w:rsid w:val="00FA66E8"/>
    <w:rsid w:val="00FB2977"/>
    <w:rsid w:val="00FD5F5B"/>
    <w:rsid w:val="00FD64C7"/>
    <w:rsid w:val="00F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F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41A6"/>
    <w:pPr>
      <w:ind w:left="720"/>
      <w:contextualSpacing/>
    </w:pPr>
  </w:style>
  <w:style w:type="paragraph" w:styleId="a5">
    <w:name w:val="No Spacing"/>
    <w:uiPriority w:val="1"/>
    <w:qFormat/>
    <w:rsid w:val="000573B8"/>
    <w:rPr>
      <w:rFonts w:eastAsia="Times New Roman"/>
      <w:sz w:val="22"/>
      <w:szCs w:val="22"/>
    </w:rPr>
  </w:style>
  <w:style w:type="paragraph" w:customStyle="1" w:styleId="ConsPlusNormal">
    <w:name w:val="ConsPlusNormal"/>
    <w:rsid w:val="008574D2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6">
    <w:name w:val="Table Grid"/>
    <w:basedOn w:val="a1"/>
    <w:uiPriority w:val="59"/>
    <w:rsid w:val="00D33BF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DF12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F125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F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41A6"/>
    <w:pPr>
      <w:ind w:left="720"/>
      <w:contextualSpacing/>
    </w:pPr>
  </w:style>
  <w:style w:type="paragraph" w:styleId="a5">
    <w:name w:val="No Spacing"/>
    <w:uiPriority w:val="1"/>
    <w:qFormat/>
    <w:rsid w:val="000573B8"/>
    <w:rPr>
      <w:rFonts w:eastAsia="Times New Roman"/>
      <w:sz w:val="22"/>
      <w:szCs w:val="22"/>
    </w:rPr>
  </w:style>
  <w:style w:type="paragraph" w:customStyle="1" w:styleId="ConsPlusNormal">
    <w:name w:val="ConsPlusNormal"/>
    <w:rsid w:val="008574D2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6">
    <w:name w:val="Table Grid"/>
    <w:basedOn w:val="a1"/>
    <w:uiPriority w:val="59"/>
    <w:rsid w:val="00D33BF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DF12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F125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stup.scli.ru:8111/content/act/ea4730e2-0388-4aee-bd89-0cbc2c54574b.html" TargetMode="External"/><Relationship Id="rId18" Type="http://schemas.openxmlformats.org/officeDocument/2006/relationships/hyperlink" Target="http://dostup.scli.ru:8111/content/act/2dc2eb84-1baf-48dc-864f-a9a5c8df2df6.html" TargetMode="External"/><Relationship Id="rId26" Type="http://schemas.openxmlformats.org/officeDocument/2006/relationships/hyperlink" Target="http://dostup.scli.ru:8111/content/act/2dc2eb84-1baf-48dc-864f-a9a5c8df2df6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dostup.scli.ru:8111/content/act/2dc2eb84-1baf-48dc-864f-a9a5c8df2df6.html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dostup.scli.ru:8111/content/act/2dc2eb84-1baf-48dc-864f-a9a5c8df2df6.html" TargetMode="External"/><Relationship Id="rId25" Type="http://schemas.openxmlformats.org/officeDocument/2006/relationships/hyperlink" Target="http://dostup.scli.ru:8111/content/act/2dc2eb84-1baf-48dc-864f-a9a5c8df2df6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stup.scli.ru:8111/content/act/2dc2eb84-1baf-48dc-864f-a9a5c8df2df6.html" TargetMode="External"/><Relationship Id="rId20" Type="http://schemas.openxmlformats.org/officeDocument/2006/relationships/hyperlink" Target="http://dostup.scli.ru:8111/content/act/2dc2eb84-1baf-48dc-864f-a9a5c8df2df6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stup.scli.ru:8111/content/act/2dc2eb84-1baf-48dc-864f-a9a5c8df2df6.html" TargetMode="External"/><Relationship Id="rId24" Type="http://schemas.openxmlformats.org/officeDocument/2006/relationships/hyperlink" Target="http://dostup.scli.ru:8111/content/act/2dc2eb84-1baf-48dc-864f-a9a5c8df2df6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stup.scli.ru:8111/content/act/2dc2eb84-1baf-48dc-864f-a9a5c8df2df6.html" TargetMode="External"/><Relationship Id="rId23" Type="http://schemas.openxmlformats.org/officeDocument/2006/relationships/hyperlink" Target="http://dostup.scli.ru:8111/content/act/2dc2eb84-1baf-48dc-864f-a9a5c8df2df6.html" TargetMode="External"/><Relationship Id="rId28" Type="http://schemas.openxmlformats.org/officeDocument/2006/relationships/hyperlink" Target="http://dostup.scli.ru:8111/content/act/2dc2eb84-1baf-48dc-864f-a9a5c8df2df6.html" TargetMode="External"/><Relationship Id="rId10" Type="http://schemas.openxmlformats.org/officeDocument/2006/relationships/hyperlink" Target="http://dostup.scli.ru:8111/content/act/998b1079-f74d-4f2f-8a25-cf66bb53e72b.html" TargetMode="External"/><Relationship Id="rId19" Type="http://schemas.openxmlformats.org/officeDocument/2006/relationships/hyperlink" Target="http://dostup.scli.ru:8111/content/act/ea4730e2-0388-4aee-bd89-0cbc2c54574b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stup.scli.ru:8111/content/act/2dc2eb84-1baf-48dc-864f-a9a5c8df2df6.html" TargetMode="External"/><Relationship Id="rId14" Type="http://schemas.openxmlformats.org/officeDocument/2006/relationships/hyperlink" Target="http://dostup.scli.ru:8111/content/act/2dc2eb84-1baf-48dc-864f-a9a5c8df2df6.html" TargetMode="External"/><Relationship Id="rId22" Type="http://schemas.openxmlformats.org/officeDocument/2006/relationships/hyperlink" Target="http://dostup.scli.ru:8111/content/act/2dc2eb84-1baf-48dc-864f-a9a5c8df2df6.html" TargetMode="External"/><Relationship Id="rId27" Type="http://schemas.openxmlformats.org/officeDocument/2006/relationships/hyperlink" Target="http://dostup.scli.ru:8111/content/act/2dc2eb84-1baf-48dc-864f-a9a5c8df2df6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ACCF8-97FA-432A-98E3-3465C9527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14</cp:revision>
  <cp:lastPrinted>2021-11-10T10:50:00Z</cp:lastPrinted>
  <dcterms:created xsi:type="dcterms:W3CDTF">2022-07-11T08:33:00Z</dcterms:created>
  <dcterms:modified xsi:type="dcterms:W3CDTF">2023-08-21T10:28:00Z</dcterms:modified>
</cp:coreProperties>
</file>